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color w:val="222222"/>
          <w:sz w:val="40"/>
          <w:szCs w:val="40"/>
        </w:rPr>
      </w:pPr>
      <w:r w:rsidDel="00000000" w:rsidR="00000000" w:rsidRPr="00000000">
        <w:rPr>
          <w:rFonts w:ascii="Arial" w:cs="Arial" w:eastAsia="Arial" w:hAnsi="Arial"/>
          <w:b w:val="1"/>
          <w:color w:val="222222"/>
          <w:sz w:val="40"/>
          <w:szCs w:val="40"/>
          <w:rtl w:val="0"/>
        </w:rPr>
        <w:t xml:space="preserve">FOAM Club</w:t>
      </w:r>
    </w:p>
    <w:p w:rsidR="00000000" w:rsidDel="00000000" w:rsidP="00000000" w:rsidRDefault="00000000" w:rsidRPr="00000000" w14:paraId="00000002">
      <w:pPr>
        <w:spacing w:after="0" w:line="276" w:lineRule="auto"/>
        <w:rPr>
          <w:rFonts w:ascii="Arial" w:cs="Arial" w:eastAsia="Arial" w:hAnsi="Arial"/>
          <w:b w:val="1"/>
          <w:color w:val="222222"/>
        </w:rPr>
      </w:pPr>
      <w:r w:rsidDel="00000000" w:rsidR="00000000" w:rsidRPr="00000000">
        <w:rPr>
          <w:rFonts w:ascii="Arial" w:cs="Arial" w:eastAsia="Arial" w:hAnsi="Arial"/>
          <w:b w:val="1"/>
          <w:color w:val="222222"/>
          <w:sz w:val="28"/>
          <w:szCs w:val="28"/>
          <w:rtl w:val="0"/>
        </w:rPr>
        <w:t xml:space="preserve">Instructor’s Guide / Day of presentation</w:t>
      </w:r>
      <w:r w:rsidDel="00000000" w:rsidR="00000000" w:rsidRPr="00000000">
        <w:rPr>
          <w:rFonts w:ascii="Arial" w:cs="Arial" w:eastAsia="Arial" w:hAnsi="Arial"/>
          <w:b w:val="1"/>
          <w:color w:val="222222"/>
          <w:rtl w:val="0"/>
        </w:rPr>
        <w:br w:type="textWrapping"/>
      </w:r>
    </w:p>
    <w:p w:rsidR="00000000" w:rsidDel="00000000" w:rsidP="00000000" w:rsidRDefault="00000000" w:rsidRPr="00000000" w14:paraId="00000003">
      <w:pPr>
        <w:spacing w:after="0"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Materials you may want to have on hand</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Printed copies of blog post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Printed show notes from podcast</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Printed copies of the checklist for blogs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Printed copies checklist for podcasts</w:t>
        <w:br w:type="textWrapping"/>
      </w:r>
    </w:p>
    <w:p w:rsidR="00000000" w:rsidDel="00000000" w:rsidP="00000000" w:rsidRDefault="00000000" w:rsidRPr="00000000" w14:paraId="00000008">
      <w:pPr>
        <w:spacing w:after="0" w:line="276"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rtl w:val="0"/>
        </w:rPr>
        <w:t xml:space="preserve">View Intro to FOAM club video</w:t>
        <w:br w:type="textWrapping"/>
      </w:r>
      <w:r w:rsidDel="00000000" w:rsidR="00000000" w:rsidRPr="00000000">
        <w:rPr>
          <w:rFonts w:ascii="Arial" w:cs="Arial" w:eastAsia="Arial" w:hAnsi="Arial"/>
          <w:color w:val="ff0000"/>
          <w:rtl w:val="0"/>
        </w:rPr>
        <w:t xml:space="preserve">1 minute and 11 seconds</w:t>
      </w:r>
      <w:r w:rsidDel="00000000" w:rsidR="00000000" w:rsidRPr="00000000">
        <w:rPr>
          <w:rtl w:val="0"/>
        </w:rPr>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hyperlink r:id="rId7">
        <w:r w:rsidDel="00000000" w:rsidR="00000000" w:rsidRPr="00000000">
          <w:rPr>
            <w:rFonts w:ascii="Arial" w:cs="Arial" w:eastAsia="Arial" w:hAnsi="Arial"/>
            <w:color w:val="0563c1"/>
            <w:u w:val="single"/>
            <w:rtl w:val="0"/>
          </w:rPr>
          <w:t xml:space="preserve">https://vimeo.com/396479333</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color w:val="000000"/>
          <w:rtl w:val="0"/>
        </w:rPr>
        <w:t xml:space="preserve">Introduce FOAM Club utilizing the provided slides</w:t>
        <w:br w:type="textWrapping"/>
      </w:r>
      <w:r w:rsidDel="00000000" w:rsidR="00000000" w:rsidRPr="00000000">
        <w:rPr>
          <w:rFonts w:ascii="Arial" w:cs="Arial" w:eastAsia="Arial" w:hAnsi="Arial"/>
          <w:color w:val="ff0000"/>
          <w:rtl w:val="0"/>
        </w:rPr>
        <w:t xml:space="preserve">15 minutes</w:t>
      </w:r>
      <w:r w:rsidDel="00000000" w:rsidR="00000000" w:rsidRPr="00000000">
        <w:rPr>
          <w:rtl w:val="0"/>
        </w:rPr>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color w:val="000000"/>
          <w:rtl w:val="0"/>
        </w:rPr>
        <w:t xml:space="preserve">Learning objectives</w:t>
      </w:r>
      <w:r w:rsidDel="00000000" w:rsidR="00000000" w:rsidRPr="00000000">
        <w:rPr>
          <w:rtl w:val="0"/>
        </w:rPr>
      </w:r>
    </w:p>
    <w:p w:rsidR="00000000" w:rsidDel="00000000" w:rsidP="00000000" w:rsidRDefault="00000000" w:rsidRPr="00000000" w14:paraId="0000000E">
      <w:pPr>
        <w:numPr>
          <w:ilvl w:val="2"/>
          <w:numId w:val="3"/>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r w:rsidDel="00000000" w:rsidR="00000000" w:rsidRPr="00000000">
        <w:rPr>
          <w:rFonts w:ascii="Arial" w:cs="Arial" w:eastAsia="Arial" w:hAnsi="Arial"/>
          <w:rtl w:val="0"/>
        </w:rPr>
        <w:t xml:space="preserve">Define FOAM asynchronous online learning resources and how they are being used in medical education</w:t>
      </w:r>
    </w:p>
    <w:p w:rsidR="00000000" w:rsidDel="00000000" w:rsidP="00000000" w:rsidRDefault="00000000" w:rsidRPr="00000000" w14:paraId="0000000F">
      <w:pPr>
        <w:numPr>
          <w:ilvl w:val="2"/>
          <w:numId w:val="3"/>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r w:rsidDel="00000000" w:rsidR="00000000" w:rsidRPr="00000000">
        <w:rPr>
          <w:rFonts w:ascii="Arial" w:cs="Arial" w:eastAsia="Arial" w:hAnsi="Arial"/>
          <w:rtl w:val="0"/>
        </w:rPr>
        <w:t xml:space="preserve">Understand, through review of the literature, how the tools used to assess blogs and podcasts were developed</w:t>
      </w:r>
    </w:p>
    <w:p w:rsidR="00000000" w:rsidDel="00000000" w:rsidP="00000000" w:rsidRDefault="00000000" w:rsidRPr="00000000" w14:paraId="00000010">
      <w:pPr>
        <w:numPr>
          <w:ilvl w:val="2"/>
          <w:numId w:val="3"/>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r w:rsidDel="00000000" w:rsidR="00000000" w:rsidRPr="00000000">
        <w:rPr>
          <w:rFonts w:ascii="Arial" w:cs="Arial" w:eastAsia="Arial" w:hAnsi="Arial"/>
          <w:rtl w:val="0"/>
        </w:rPr>
        <w:t xml:space="preserve">Practice using a validated set of tools to appraise a blog article and a podcast</w:t>
      </w:r>
    </w:p>
    <w:p w:rsidR="00000000" w:rsidDel="00000000" w:rsidP="00000000" w:rsidRDefault="00000000" w:rsidRPr="00000000" w14:paraId="00000011">
      <w:pPr>
        <w:numPr>
          <w:ilvl w:val="2"/>
          <w:numId w:val="3"/>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r w:rsidDel="00000000" w:rsidR="00000000" w:rsidRPr="00000000">
        <w:rPr>
          <w:rFonts w:ascii="Arial" w:cs="Arial" w:eastAsia="Arial" w:hAnsi="Arial"/>
          <w:rtl w:val="0"/>
        </w:rPr>
        <w:t xml:space="preserve">Develop a plan to use these tools in the future to assess asynchronous resources for colleagues and learners</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color w:val="000000"/>
          <w:rtl w:val="0"/>
        </w:rPr>
        <w:t xml:space="preserve">Overview existing work</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13">
      <w:pPr>
        <w:numPr>
          <w:ilvl w:val="2"/>
          <w:numId w:val="4"/>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r w:rsidDel="00000000" w:rsidR="00000000" w:rsidRPr="00000000">
        <w:rPr>
          <w:rFonts w:ascii="Arial" w:cs="Arial" w:eastAsia="Arial" w:hAnsi="Arial"/>
          <w:color w:val="000000"/>
          <w:rtl w:val="0"/>
        </w:rPr>
        <w:t xml:space="preserve">Systematic review of quality markers</w:t>
      </w:r>
      <w:r w:rsidDel="00000000" w:rsidR="00000000" w:rsidRPr="00000000">
        <w:rPr>
          <w:rtl w:val="0"/>
        </w:rPr>
      </w:r>
    </w:p>
    <w:p w:rsidR="00000000" w:rsidDel="00000000" w:rsidP="00000000" w:rsidRDefault="00000000" w:rsidRPr="00000000" w14:paraId="00000014">
      <w:pPr>
        <w:numPr>
          <w:ilvl w:val="2"/>
          <w:numId w:val="4"/>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r w:rsidDel="00000000" w:rsidR="00000000" w:rsidRPr="00000000">
        <w:rPr>
          <w:rFonts w:ascii="Arial" w:cs="Arial" w:eastAsia="Arial" w:hAnsi="Arial"/>
          <w:color w:val="000000"/>
          <w:rtl w:val="0"/>
        </w:rPr>
        <w:t xml:space="preserve">Delphi to build consensus</w:t>
      </w:r>
      <w:r w:rsidDel="00000000" w:rsidR="00000000" w:rsidRPr="00000000">
        <w:rPr>
          <w:rtl w:val="0"/>
        </w:rPr>
      </w:r>
    </w:p>
    <w:p w:rsidR="00000000" w:rsidDel="00000000" w:rsidP="00000000" w:rsidRDefault="00000000" w:rsidRPr="00000000" w14:paraId="00000015">
      <w:pPr>
        <w:numPr>
          <w:ilvl w:val="2"/>
          <w:numId w:val="4"/>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r w:rsidDel="00000000" w:rsidR="00000000" w:rsidRPr="00000000">
        <w:rPr>
          <w:rFonts w:ascii="Arial" w:cs="Arial" w:eastAsia="Arial" w:hAnsi="Arial"/>
          <w:color w:val="000000"/>
          <w:rtl w:val="0"/>
        </w:rPr>
        <w:t xml:space="preserve">Validation of results v. gestalt</w:t>
      </w:r>
      <w:r w:rsidDel="00000000" w:rsidR="00000000" w:rsidRPr="00000000">
        <w:rPr>
          <w:rtl w:val="0"/>
        </w:rPr>
      </w:r>
    </w:p>
    <w:p w:rsidR="00000000" w:rsidDel="00000000" w:rsidP="00000000" w:rsidRDefault="00000000" w:rsidRPr="00000000" w14:paraId="00000016">
      <w:pPr>
        <w:numPr>
          <w:ilvl w:val="2"/>
          <w:numId w:val="4"/>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r w:rsidDel="00000000" w:rsidR="00000000" w:rsidRPr="00000000">
        <w:rPr>
          <w:rFonts w:ascii="Arial" w:cs="Arial" w:eastAsia="Arial" w:hAnsi="Arial"/>
          <w:color w:val="000000"/>
          <w:rtl w:val="0"/>
        </w:rPr>
        <w:t xml:space="preserve">Rating systems for assessment</w:t>
        <w:br w:type="textWrapping"/>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color w:val="000000"/>
          <w:rtl w:val="0"/>
        </w:rPr>
        <w:t xml:space="preserve">Hands-on practice</w:t>
        <w:br w:type="textWrapping"/>
      </w:r>
      <w:r w:rsidDel="00000000" w:rsidR="00000000" w:rsidRPr="00000000">
        <w:rPr>
          <w:rFonts w:ascii="Arial" w:cs="Arial" w:eastAsia="Arial" w:hAnsi="Arial"/>
          <w:color w:val="ff0000"/>
          <w:rtl w:val="0"/>
        </w:rPr>
        <w:t xml:space="preserve">20 minutes / Small groups of 4-8 people with at least one facilitator. Have at least two groups so one group starts on the podcast and one group starts on the blog post</w:t>
      </w:r>
      <w:r w:rsidDel="00000000" w:rsidR="00000000" w:rsidRPr="00000000">
        <w:rPr>
          <w:rtl w:val="0"/>
        </w:rPr>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Fonts w:ascii="Arial" w:cs="Arial" w:eastAsia="Arial" w:hAnsi="Arial"/>
          <w:color w:val="000000"/>
          <w:rtl w:val="0"/>
        </w:rPr>
        <w:t xml:space="preserve">Assess selected blog </w:t>
      </w:r>
      <w:r w:rsidDel="00000000" w:rsidR="00000000" w:rsidRPr="00000000">
        <w:rPr>
          <w:rtl w:val="0"/>
        </w:rPr>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color w:val="222222"/>
          <w:rtl w:val="0"/>
        </w:rPr>
        <w:t xml:space="preserve">Assess selected podcast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rtl w:val="0"/>
        </w:rPr>
        <w:t xml:space="preserve">Fill out the validated rating tools</w:t>
        <w:br w:type="textWrapping"/>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color w:val="222222"/>
          <w:rtl w:val="0"/>
        </w:rPr>
        <w:t xml:space="preserve">Large group discussion</w:t>
        <w:br w:type="textWrapping"/>
      </w:r>
      <w:r w:rsidDel="00000000" w:rsidR="00000000" w:rsidRPr="00000000">
        <w:rPr>
          <w:rFonts w:ascii="Arial" w:cs="Arial" w:eastAsia="Arial" w:hAnsi="Arial"/>
          <w:color w:val="ff0000"/>
          <w:rtl w:val="0"/>
        </w:rPr>
        <w:t xml:space="preserve">10 minutes / Encourage small groups to share their conclusions and thoughts on using the assessment tools</w:t>
      </w:r>
      <w:r w:rsidDel="00000000" w:rsidR="00000000" w:rsidRPr="00000000">
        <w:rPr>
          <w:rtl w:val="0"/>
        </w:rPr>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color w:val="222222"/>
          <w:rtl w:val="0"/>
        </w:rPr>
        <w:t xml:space="preserve">Share each groups’ assessment of FOAM source guided by discussion questions</w:t>
      </w:r>
      <w:r w:rsidDel="00000000" w:rsidR="00000000" w:rsidRPr="00000000">
        <w:rPr>
          <w:rtl w:val="0"/>
        </w:rPr>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color w:val="222222"/>
          <w:rtl w:val="0"/>
        </w:rPr>
        <w:t xml:space="preserve">Discuss variances between groups</w:t>
      </w:r>
      <w:r w:rsidDel="00000000" w:rsidR="00000000" w:rsidRPr="00000000">
        <w:rPr>
          <w:rtl w:val="0"/>
        </w:rPr>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color w:val="222222"/>
          <w:rtl w:val="0"/>
        </w:rPr>
        <w:t xml:space="preserve">Answer questions as needed </w:t>
      </w:r>
      <w:r w:rsidDel="00000000" w:rsidR="00000000" w:rsidRPr="00000000">
        <w:rPr>
          <w:rtl w:val="0"/>
        </w:rPr>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color w:val="222222"/>
          <w:rtl w:val="0"/>
        </w:rPr>
        <w:t xml:space="preserve">As time allows explore the following questions</w:t>
      </w:r>
      <w:r w:rsidDel="00000000" w:rsidR="00000000" w:rsidRPr="00000000">
        <w:rPr>
          <w:rtl w:val="0"/>
        </w:rPr>
      </w:r>
    </w:p>
    <w:p w:rsidR="00000000" w:rsidDel="00000000" w:rsidP="00000000" w:rsidRDefault="00000000" w:rsidRPr="00000000" w14:paraId="00000020">
      <w:pPr>
        <w:numPr>
          <w:ilvl w:val="2"/>
          <w:numId w:val="2"/>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bookmarkStart w:colFirst="0" w:colLast="0" w:name="_heading=h.gjdgxs" w:id="0"/>
      <w:bookmarkEnd w:id="0"/>
      <w:r w:rsidDel="00000000" w:rsidR="00000000" w:rsidRPr="00000000">
        <w:rPr>
          <w:rFonts w:ascii="Arial" w:cs="Arial" w:eastAsia="Arial" w:hAnsi="Arial"/>
          <w:color w:val="222222"/>
          <w:rtl w:val="0"/>
        </w:rPr>
        <w:t xml:space="preserve">Will you use either of these toolkits in preparation for an upcoming lecture? After listening to a podcast episode? During a shift when a trainee shares a reference with you?</w:t>
      </w:r>
      <w:r w:rsidDel="00000000" w:rsidR="00000000" w:rsidRPr="00000000">
        <w:rPr>
          <w:rtl w:val="0"/>
        </w:rPr>
      </w:r>
    </w:p>
    <w:p w:rsidR="00000000" w:rsidDel="00000000" w:rsidP="00000000" w:rsidRDefault="00000000" w:rsidRPr="00000000" w14:paraId="00000021">
      <w:pPr>
        <w:numPr>
          <w:ilvl w:val="2"/>
          <w:numId w:val="2"/>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r w:rsidDel="00000000" w:rsidR="00000000" w:rsidRPr="00000000">
        <w:rPr>
          <w:rFonts w:ascii="Arial" w:cs="Arial" w:eastAsia="Arial" w:hAnsi="Arial"/>
          <w:color w:val="222222"/>
          <w:rtl w:val="0"/>
        </w:rPr>
        <w:t xml:space="preserve">Considering about a recent podcast or blog you’ve consumed, did it meet these quality standards? If not, where did it fall short?</w:t>
      </w:r>
      <w:r w:rsidDel="00000000" w:rsidR="00000000" w:rsidRPr="00000000">
        <w:rPr>
          <w:rtl w:val="0"/>
        </w:rPr>
      </w:r>
    </w:p>
    <w:p w:rsidR="00000000" w:rsidDel="00000000" w:rsidP="00000000" w:rsidRDefault="00000000" w:rsidRPr="00000000" w14:paraId="00000022">
      <w:pPr>
        <w:numPr>
          <w:ilvl w:val="2"/>
          <w:numId w:val="2"/>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r w:rsidDel="00000000" w:rsidR="00000000" w:rsidRPr="00000000">
        <w:rPr>
          <w:rFonts w:ascii="Arial" w:cs="Arial" w:eastAsia="Arial" w:hAnsi="Arial"/>
          <w:color w:val="222222"/>
          <w:rtl w:val="0"/>
        </w:rPr>
        <w:t xml:space="preserve">Is there anything that you think the checklists are missing (i.e date of publication)?</w:t>
      </w:r>
      <w:r w:rsidDel="00000000" w:rsidR="00000000" w:rsidRPr="00000000">
        <w:rPr>
          <w:rtl w:val="0"/>
        </w:rPr>
      </w:r>
    </w:p>
    <w:p w:rsidR="00000000" w:rsidDel="00000000" w:rsidP="00000000" w:rsidRDefault="00000000" w:rsidRPr="00000000" w14:paraId="00000023">
      <w:pPr>
        <w:numPr>
          <w:ilvl w:val="2"/>
          <w:numId w:val="2"/>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r w:rsidDel="00000000" w:rsidR="00000000" w:rsidRPr="00000000">
        <w:rPr>
          <w:rFonts w:ascii="Arial" w:cs="Arial" w:eastAsia="Arial" w:hAnsi="Arial"/>
          <w:color w:val="222222"/>
          <w:rtl w:val="0"/>
        </w:rPr>
        <w:t xml:space="preserve">Do the methods of the development of these checklists reassure you that they are valid, or do you still have concerns?</w:t>
      </w:r>
      <w:r w:rsidDel="00000000" w:rsidR="00000000" w:rsidRPr="00000000">
        <w:rPr>
          <w:rtl w:val="0"/>
        </w:rPr>
      </w:r>
    </w:p>
    <w:p w:rsidR="00000000" w:rsidDel="00000000" w:rsidP="00000000" w:rsidRDefault="00000000" w:rsidRPr="00000000" w14:paraId="00000024">
      <w:pPr>
        <w:numPr>
          <w:ilvl w:val="2"/>
          <w:numId w:val="2"/>
        </w:numPr>
        <w:pBdr>
          <w:top w:space="0" w:sz="0" w:val="nil"/>
          <w:left w:space="0" w:sz="0" w:val="nil"/>
          <w:bottom w:space="0" w:sz="0" w:val="nil"/>
          <w:right w:space="0" w:sz="0" w:val="nil"/>
          <w:between w:space="0" w:sz="0" w:val="nil"/>
        </w:pBdr>
        <w:spacing w:after="0" w:lineRule="auto"/>
        <w:ind w:left="2340" w:hanging="360"/>
        <w:rPr>
          <w:rFonts w:ascii="Arial" w:cs="Arial" w:eastAsia="Arial" w:hAnsi="Arial"/>
        </w:rPr>
      </w:pPr>
      <w:r w:rsidDel="00000000" w:rsidR="00000000" w:rsidRPr="00000000">
        <w:rPr>
          <w:rFonts w:ascii="Arial" w:cs="Arial" w:eastAsia="Arial" w:hAnsi="Arial"/>
          <w:color w:val="222222"/>
          <w:rtl w:val="0"/>
        </w:rPr>
        <w:t xml:space="preserve">Did using these checklists change how you view blogs and podcasts and how they can be integrated into your practice?</w:t>
        <w:br w:type="textWrapping"/>
      </w: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color w:val="222222"/>
          <w:rtl w:val="0"/>
        </w:rPr>
        <w:t xml:space="preserve">Conclusion</w:t>
        <w:br w:type="textWrapping"/>
      </w:r>
      <w:r w:rsidDel="00000000" w:rsidR="00000000" w:rsidRPr="00000000">
        <w:rPr>
          <w:rFonts w:ascii="Arial" w:cs="Arial" w:eastAsia="Arial" w:hAnsi="Arial"/>
          <w:color w:val="ff0000"/>
          <w:rtl w:val="0"/>
        </w:rPr>
        <w:t xml:space="preserve">10 minutes</w:t>
      </w:r>
      <w:r w:rsidDel="00000000" w:rsidR="00000000" w:rsidRPr="00000000">
        <w:rPr>
          <w:rtl w:val="0"/>
        </w:rPr>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color w:val="222222"/>
          <w:rtl w:val="0"/>
        </w:rPr>
        <w:t xml:space="preserve">Recap learning objectives </w:t>
      </w:r>
      <w:r w:rsidDel="00000000" w:rsidR="00000000" w:rsidRPr="00000000">
        <w:rPr>
          <w:rtl w:val="0"/>
        </w:rPr>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color w:val="222222"/>
          <w:rtl w:val="0"/>
        </w:rPr>
        <w:t xml:space="preserve">Share list of EM and PEM specific FOAM resources</w:t>
      </w:r>
      <w:r w:rsidDel="00000000" w:rsidR="00000000" w:rsidRPr="00000000">
        <w:rPr>
          <w:rtl w:val="0"/>
        </w:rPr>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color w:val="222222"/>
          <w:rtl w:val="0"/>
        </w:rPr>
        <w:t xml:space="preserve">Share contact information/website for FOAM Club</w:t>
        <w:br w:type="textWrapping"/>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color w:val="222222"/>
          <w:rtl w:val="0"/>
        </w:rPr>
        <w:t xml:space="preserve">Complete FOAM club evaluation</w:t>
        <w:br w:type="textWrapping"/>
      </w:r>
      <w:r w:rsidDel="00000000" w:rsidR="00000000" w:rsidRPr="00000000">
        <w:rPr>
          <w:rFonts w:ascii="Arial" w:cs="Arial" w:eastAsia="Arial" w:hAnsi="Arial"/>
          <w:color w:val="ff0000"/>
          <w:rtl w:val="0"/>
        </w:rPr>
        <w:t xml:space="preserve">Please have your attendees fill out the end of session survey using the Google Form which is linked to the QR code at the end of the slides  We will of course share your course feedback with you. Just send an email and we will get you access to the full report. We would also benefit from hearing about your experience as an instructor and may reach out to you following the presentation.</w:t>
      </w:r>
      <w:r w:rsidDel="00000000" w:rsidR="00000000" w:rsidRPr="00000000">
        <w:rPr>
          <w:rtl w:val="0"/>
        </w:rPr>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Google forms feedback completed by all attendees</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rtl w:val="0"/>
        </w:rPr>
        <w:t xml:space="preserve">Alternatively, if you prefer paper feedback forms we have included those in the toolkit as well. </w:t>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B7020"/>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F7511E"/>
    <w:rPr>
      <w:sz w:val="16"/>
      <w:szCs w:val="16"/>
    </w:rPr>
  </w:style>
  <w:style w:type="paragraph" w:styleId="CommentText">
    <w:name w:val="annotation text"/>
    <w:basedOn w:val="Normal"/>
    <w:link w:val="CommentTextChar"/>
    <w:uiPriority w:val="99"/>
    <w:semiHidden w:val="1"/>
    <w:unhideWhenUsed w:val="1"/>
    <w:rsid w:val="00F7511E"/>
    <w:pPr>
      <w:spacing w:line="240" w:lineRule="auto"/>
    </w:pPr>
    <w:rPr>
      <w:sz w:val="20"/>
      <w:szCs w:val="20"/>
    </w:rPr>
  </w:style>
  <w:style w:type="character" w:styleId="CommentTextChar" w:customStyle="1">
    <w:name w:val="Comment Text Char"/>
    <w:basedOn w:val="DefaultParagraphFont"/>
    <w:link w:val="CommentText"/>
    <w:uiPriority w:val="99"/>
    <w:semiHidden w:val="1"/>
    <w:rsid w:val="00F7511E"/>
    <w:rPr>
      <w:rFonts w:ascii="Calibri" w:cs="Calibri"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F7511E"/>
    <w:rPr>
      <w:b w:val="1"/>
      <w:bCs w:val="1"/>
    </w:rPr>
  </w:style>
  <w:style w:type="character" w:styleId="CommentSubjectChar" w:customStyle="1">
    <w:name w:val="Comment Subject Char"/>
    <w:basedOn w:val="CommentTextChar"/>
    <w:link w:val="CommentSubject"/>
    <w:uiPriority w:val="99"/>
    <w:semiHidden w:val="1"/>
    <w:rsid w:val="00F7511E"/>
    <w:rPr>
      <w:rFonts w:ascii="Calibri" w:cs="Calibri" w:eastAsia="Calibri" w:hAnsi="Calibri"/>
      <w:b w:val="1"/>
      <w:bCs w:val="1"/>
      <w:sz w:val="20"/>
      <w:szCs w:val="20"/>
    </w:rPr>
  </w:style>
  <w:style w:type="paragraph" w:styleId="BalloonText">
    <w:name w:val="Balloon Text"/>
    <w:basedOn w:val="Normal"/>
    <w:link w:val="BalloonTextChar"/>
    <w:uiPriority w:val="99"/>
    <w:semiHidden w:val="1"/>
    <w:unhideWhenUsed w:val="1"/>
    <w:rsid w:val="00F7511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7511E"/>
    <w:rPr>
      <w:rFonts w:ascii="Segoe UI" w:cs="Segoe UI" w:eastAsia="Calibri" w:hAnsi="Segoe UI"/>
      <w:sz w:val="18"/>
      <w:szCs w:val="18"/>
    </w:rPr>
  </w:style>
  <w:style w:type="character" w:styleId="Hyperlink">
    <w:name w:val="Hyperlink"/>
    <w:basedOn w:val="DefaultParagraphFont"/>
    <w:uiPriority w:val="99"/>
    <w:unhideWhenUsed w:val="1"/>
    <w:rsid w:val="00B95B91"/>
    <w:rPr>
      <w:color w:val="0563c1" w:themeColor="hyperlink"/>
      <w:u w:val="single"/>
    </w:rPr>
  </w:style>
  <w:style w:type="character" w:styleId="UnresolvedMention">
    <w:name w:val="Unresolved Mention"/>
    <w:basedOn w:val="DefaultParagraphFont"/>
    <w:uiPriority w:val="99"/>
    <w:semiHidden w:val="1"/>
    <w:unhideWhenUsed w:val="1"/>
    <w:rsid w:val="00B95B91"/>
    <w:rPr>
      <w:color w:val="605e5c"/>
      <w:shd w:color="auto" w:fill="e1dfdd" w:val="clear"/>
    </w:rPr>
  </w:style>
  <w:style w:type="paragraph" w:styleId="ListParagraph">
    <w:name w:val="List Paragraph"/>
    <w:basedOn w:val="Normal"/>
    <w:uiPriority w:val="34"/>
    <w:qFormat w:val="1"/>
    <w:rsid w:val="00B95B91"/>
    <w:pPr>
      <w:ind w:left="720"/>
      <w:contextualSpacing w:val="1"/>
    </w:pPr>
  </w:style>
  <w:style w:type="character" w:styleId="FollowedHyperlink">
    <w:name w:val="FollowedHyperlink"/>
    <w:basedOn w:val="DefaultParagraphFont"/>
    <w:uiPriority w:val="99"/>
    <w:semiHidden w:val="1"/>
    <w:unhideWhenUsed w:val="1"/>
    <w:rsid w:val="009673FC"/>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meo.com/396479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96HL1ObwZnuZiys8lERO27djmA==">AMUW2mWo8kEyjFms31NrjuZFUUivu3wvv0M4lrzMv3yNRlhmSYzjGbBXBVszQRZQXtUt8MXYAFldPCyaQSmVlUqDzhzSD8o0Z16tm52Wy0Z1pr6HUQIbHYGkdXITPRz/EKaVGlALuRwh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2019-11-20T18:15:00Z</dcterms:created>
  <dc:creator>Daphne Morrison</dc:creator>
</cp:coreProperties>
</file>